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5C472" w14:textId="77777777" w:rsidR="00A93162" w:rsidRDefault="00564FF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Schedule 24 (Financial Difficulties)</w:t>
      </w:r>
    </w:p>
    <w:p w14:paraId="73CE1769"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4651AB8"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14:paraId="2529519D" w14:textId="77777777">
        <w:tc>
          <w:tcPr>
            <w:tcW w:w="2462" w:type="dxa"/>
          </w:tcPr>
          <w:p w14:paraId="75BEDD2E"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363833D5"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A93162" w14:paraId="1C8A80DC" w14:textId="77777777">
        <w:tc>
          <w:tcPr>
            <w:tcW w:w="2462" w:type="dxa"/>
          </w:tcPr>
          <w:p w14:paraId="3D2CC8B4"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7A1C84F8"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3326074B"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54F2A2FC"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7B63761C"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31B704D6"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55415889"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the Buyer that the Supplier has not satisfied any sums properly due under a specified invoice and not subject to a genuine dispute; or</w:t>
            </w:r>
          </w:p>
          <w:p w14:paraId="46EE74F5" w14:textId="77777777"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4509B824"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20EA0E74"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4E3935A8"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any financial indebtedness of the Monitored Company becoming due as a result of an event of default; or</w:t>
            </w:r>
          </w:p>
          <w:p w14:paraId="03CC4CBF" w14:textId="77777777"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4FA8DF47"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Buyer reasonably believes (or would be likely reasonably to believe) could directly impact on the continued performance of any Contract and delivery of the Deliverables in accordance with any  Contract;</w:t>
            </w:r>
          </w:p>
        </w:tc>
      </w:tr>
      <w:tr w:rsidR="00A93162" w14:paraId="40CB3F5F" w14:textId="77777777">
        <w:tc>
          <w:tcPr>
            <w:tcW w:w="2462" w:type="dxa"/>
          </w:tcPr>
          <w:p w14:paraId="087E3824"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6D3C63BD"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A93162" w14:paraId="498BE26B" w14:textId="77777777">
        <w:tc>
          <w:tcPr>
            <w:tcW w:w="2462" w:type="dxa"/>
          </w:tcPr>
          <w:p w14:paraId="504B0723" w14:textId="77777777"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695DAB92"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r>
              <w:rPr>
                <w:rFonts w:ascii="Arial" w:eastAsia="Arial" w:hAnsi="Arial"/>
                <w:color w:val="000000"/>
                <w:sz w:val="24"/>
                <w:szCs w:val="24"/>
              </w:rPr>
              <w:t>; and</w:t>
            </w:r>
          </w:p>
        </w:tc>
      </w:tr>
      <w:tr w:rsidR="00A93162" w14:paraId="208EFC1D" w14:textId="77777777">
        <w:tc>
          <w:tcPr>
            <w:tcW w:w="2462" w:type="dxa"/>
          </w:tcPr>
          <w:p w14:paraId="167A0FAB" w14:textId="77777777" w:rsidR="00A93162" w:rsidRDefault="00564FFF" w:rsidP="00503729">
            <w:pPr>
              <w:pBdr>
                <w:top w:val="nil"/>
                <w:left w:val="nil"/>
                <w:bottom w:val="nil"/>
                <w:right w:val="nil"/>
                <w:between w:val="nil"/>
              </w:pBdr>
              <w:spacing w:after="120"/>
              <w:ind w:left="-108" w:hanging="20"/>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63B7E311" w14:textId="77777777"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286A9E75"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1D4DB1A4"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48A4B0D3"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71207D18" w14:textId="77777777" w:rsidR="00A93162" w:rsidRDefault="00564F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under the Contract until the termination or expiry of the Contract.</w:t>
      </w:r>
    </w:p>
    <w:p w14:paraId="066BF7E2"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77115DCF"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the Buyer that as at the Start Date the long term credit ratings issued for the Monitored Companies by each of the Rating Agencies are as set out in Annex 2. </w:t>
      </w:r>
    </w:p>
    <w:p w14:paraId="7048BDB1"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Buyer in writing if there is any downgrade in the credit rating issued by any Rating Agency for a Monitored Company.</w:t>
      </w:r>
    </w:p>
    <w:p w14:paraId="31A213EE"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w:t>
      </w:r>
      <w:r>
        <w:rPr>
          <w:rFonts w:ascii="Arial" w:eastAsia="Arial" w:hAnsi="Arial"/>
          <w:color w:val="000000"/>
          <w:sz w:val="24"/>
          <w:szCs w:val="24"/>
          <w:highlight w:val="yellow"/>
        </w:rPr>
        <w:t>[</w:t>
      </w:r>
      <w:r>
        <w:rPr>
          <w:rFonts w:ascii="Arial" w:eastAsia="Arial" w:hAnsi="Arial"/>
          <w:b/>
          <w:color w:val="000000"/>
          <w:sz w:val="24"/>
          <w:szCs w:val="24"/>
          <w:highlight w:val="yellow"/>
        </w:rPr>
        <w:t>Buyer Guidance:</w:t>
      </w:r>
      <w:r>
        <w:rPr>
          <w:rFonts w:ascii="Arial" w:eastAsia="Arial" w:hAnsi="Arial"/>
          <w:color w:val="000000"/>
          <w:sz w:val="24"/>
          <w:szCs w:val="24"/>
          <w:highlight w:val="yellow"/>
        </w:rPr>
        <w:t xml:space="preserve"> Buyer to consider what provisions to make here</w:t>
      </w:r>
      <w:r>
        <w:rPr>
          <w:rFonts w:ascii="Arial" w:eastAsia="Arial" w:hAnsi="Arial"/>
          <w:color w:val="000000"/>
          <w:sz w:val="24"/>
          <w:szCs w:val="24"/>
        </w:rPr>
        <w:t>] the quick ratio for the Monitored Company as at the end of each Contract Year or such other date as may be requested by the Buyer. For these purposes the "quick ratio" on any date means:</w:t>
      </w:r>
    </w:p>
    <w:p w14:paraId="31E36934" w14:textId="77777777" w:rsidR="00A93162" w:rsidRDefault="00564FFF">
      <w:pPr>
        <w:ind w:firstLine="1134"/>
        <w:jc w:val="left"/>
        <w:rPr>
          <w:rFonts w:ascii="Arial" w:eastAsia="Arial" w:hAnsi="Arial"/>
          <w:sz w:val="24"/>
          <w:szCs w:val="24"/>
        </w:rPr>
      </w:pPr>
      <w:r>
        <w:rPr>
          <w:rFonts w:ascii="Arial" w:eastAsia="Arial" w:hAnsi="Arial"/>
          <w:noProof/>
          <w:sz w:val="24"/>
          <w:szCs w:val="24"/>
        </w:rPr>
        <w:lastRenderedPageBreak/>
        <w:drawing>
          <wp:inline distT="0" distB="0" distL="0" distR="0" wp14:anchorId="7F81C4C0" wp14:editId="30660964">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582FCBF" wp14:editId="1D2706CD">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7C47BE43" w14:textId="77777777" w:rsidR="00A93162" w:rsidRDefault="00564FFF">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14:paraId="69B63519" w14:textId="77777777">
        <w:tc>
          <w:tcPr>
            <w:tcW w:w="1524" w:type="dxa"/>
          </w:tcPr>
          <w:p w14:paraId="675B1064"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2B90B681"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14:paraId="6C1EAB3E" w14:textId="77777777">
        <w:tc>
          <w:tcPr>
            <w:tcW w:w="1524" w:type="dxa"/>
          </w:tcPr>
          <w:p w14:paraId="0E1FEFCE"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7A3F5EA4"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93162" w14:paraId="62379F01" w14:textId="77777777">
        <w:tc>
          <w:tcPr>
            <w:tcW w:w="1524" w:type="dxa"/>
          </w:tcPr>
          <w:p w14:paraId="6F9C587D"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5BFBB410"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A93162" w14:paraId="2347794B" w14:textId="77777777">
        <w:tc>
          <w:tcPr>
            <w:tcW w:w="1524" w:type="dxa"/>
          </w:tcPr>
          <w:p w14:paraId="0ADBD75D"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2EE1B0C6" w14:textId="77777777"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0804F22A"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40CAE669"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42F629FA"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8B541DF"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5CACF0FC"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71A5DFD1"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w:t>
      </w:r>
    </w:p>
    <w:p w14:paraId="038840D4" w14:textId="77777777" w:rsidR="00A93162" w:rsidRDefault="00564FFF">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1D2BA7B6"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the Buyer that the Supplier has not satisfied any sums properly due under a specified invoice and not subject to a genuine dispute then, the Buyer </w:t>
      </w:r>
      <w:r>
        <w:rPr>
          <w:rFonts w:ascii="Arial" w:eastAsia="Arial" w:hAnsi="Arial"/>
          <w:color w:val="000000"/>
          <w:sz w:val="24"/>
          <w:szCs w:val="24"/>
        </w:rPr>
        <w:lastRenderedPageBreak/>
        <w:t>shall not exercise any of its rights or remedies under Paragraph 4.3 without first giving the Supplier ten (10) Working Days to:</w:t>
      </w:r>
    </w:p>
    <w:p w14:paraId="2ECDA86A"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22C2C64C"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Buyer's reasonable satisfaction that there is a valid reason for late or non-payment.]</w:t>
      </w:r>
    </w:p>
    <w:p w14:paraId="253E18A5"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5A442CE9"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p>
    <w:p w14:paraId="047BBE9D"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where the Buyer reasonably believes (taking into account the discussions and any representations made under Paragraph 4.3.1) that the Financial Distress Event could impact on the continued performance of the Contract and delivery of the Deliverables in accordance with the Contract: </w:t>
      </w:r>
    </w:p>
    <w:p w14:paraId="1A4C49F4"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Buyer for its Approval, a draft Financial Distress Service Continuity Plan as soon as reasonably practicable (and in any event, within ten (10) Working Days of the initial notification (or awareness) of the Financial Distress Event); and</w:t>
      </w:r>
    </w:p>
    <w:p w14:paraId="7BBDE2F7" w14:textId="77777777"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Monitored Company as the Buyer may reasonably require.</w:t>
      </w:r>
    </w:p>
    <w:p w14:paraId="3EB908F4"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14:paraId="5B994FC8"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23968F03"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lastRenderedPageBreak/>
        <w:t>Following Approval of the Financial Distress Service Continuity Plan by the Buyer, the Supplier shall:</w:t>
      </w:r>
    </w:p>
    <w:p w14:paraId="61F93A62"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the Contract and delivery of the Deliverables in accordance with the Contract;</w:t>
      </w:r>
    </w:p>
    <w:p w14:paraId="3141A8B4"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the Buyer for its Approval, and the provisions of Paragraphs 4.5 and 4.6 shall apply to the review and Approval process for the updated Financial Distress Service Continuity Plan; and </w:t>
      </w:r>
    </w:p>
    <w:p w14:paraId="3EF1D8D5"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14:paraId="5F183C3E"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14:paraId="3FCC00B2"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the Buyer can terminate for financial distress </w:t>
      </w:r>
    </w:p>
    <w:p w14:paraId="10439544" w14:textId="77777777"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The Buyer shall be entitled to terminate this Contract for material Default if: </w:t>
      </w:r>
    </w:p>
    <w:p w14:paraId="0BC21B10"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Buyer of a Financial Distress Event in accordance with Paragraph 3.4; </w:t>
      </w:r>
    </w:p>
    <w:p w14:paraId="3094E19F"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fail to agree a Financial Distress Service Continuity Plan (or any updated Financial Distress Service Continuity Plan) in accordance with Paragraphs 4.3 to 4.5; and/or</w:t>
      </w:r>
    </w:p>
    <w:p w14:paraId="5AA05C10"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54F8C0B5" w14:textId="77777777"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6605B2FF" w14:textId="77777777"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Buyer’s rights and remedies under Paragraph 5, if, following the occurrence of a Financial Distress Event, the Rating Agencies review and report subsequently that the credit ratings do not drop below the relevant Credit Rating Threshold, then:</w:t>
      </w:r>
    </w:p>
    <w:p w14:paraId="03B0D946"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28C16D7" w14:textId="77777777"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the Buyer shall not be entitled to require the Supplier to provide financial information in accordance with Paragraph 4.3.2(b). </w:t>
      </w:r>
    </w:p>
    <w:p w14:paraId="435509BA" w14:textId="77777777" w:rsidR="00A93162" w:rsidRDefault="00A93162">
      <w:pPr>
        <w:pBdr>
          <w:top w:val="nil"/>
          <w:left w:val="nil"/>
          <w:bottom w:val="nil"/>
          <w:right w:val="nil"/>
          <w:between w:val="nil"/>
        </w:pBdr>
        <w:spacing w:after="0"/>
        <w:jc w:val="left"/>
        <w:rPr>
          <w:rFonts w:ascii="Arial" w:eastAsia="Arial" w:hAnsi="Arial"/>
          <w:color w:val="FFFFFF"/>
          <w:sz w:val="24"/>
          <w:szCs w:val="24"/>
        </w:rPr>
      </w:pPr>
    </w:p>
    <w:p w14:paraId="3062F352"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5F1D66F4"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14:paraId="06039A80"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[Rating Agency 1]</w:t>
      </w:r>
    </w:p>
    <w:p w14:paraId="534ADDA4"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[Rating Agency 2]</w:t>
      </w:r>
    </w:p>
    <w:p w14:paraId="7A25BECE"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14:paraId="1515EA10"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93162" w14:paraId="7F4C5010" w14:textId="77777777">
        <w:tc>
          <w:tcPr>
            <w:tcW w:w="3033" w:type="dxa"/>
            <w:tcBorders>
              <w:top w:val="single" w:sz="4" w:space="0" w:color="000000"/>
            </w:tcBorders>
            <w:shd w:val="clear" w:color="auto" w:fill="FFFFFF"/>
          </w:tcPr>
          <w:p w14:paraId="04C119CB"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Entity</w:t>
            </w:r>
          </w:p>
        </w:tc>
        <w:tc>
          <w:tcPr>
            <w:tcW w:w="3017" w:type="dxa"/>
            <w:tcBorders>
              <w:top w:val="single" w:sz="4" w:space="0" w:color="000000"/>
            </w:tcBorders>
            <w:shd w:val="clear" w:color="auto" w:fill="FFFFFF"/>
          </w:tcPr>
          <w:p w14:paraId="7F073A23"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2966" w:type="dxa"/>
            <w:tcBorders>
              <w:top w:val="single" w:sz="4" w:space="0" w:color="000000"/>
            </w:tcBorders>
            <w:shd w:val="clear" w:color="auto" w:fill="FFFFFF"/>
          </w:tcPr>
          <w:p w14:paraId="534E5629"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A93162" w14:paraId="7D9A9561" w14:textId="77777777">
        <w:tc>
          <w:tcPr>
            <w:tcW w:w="3033" w:type="dxa"/>
            <w:shd w:val="clear" w:color="auto" w:fill="FFFFFF"/>
          </w:tcPr>
          <w:p w14:paraId="2DA8689B"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Supplier</w:t>
            </w:r>
          </w:p>
        </w:tc>
        <w:tc>
          <w:tcPr>
            <w:tcW w:w="3017" w:type="dxa"/>
            <w:shd w:val="clear" w:color="auto" w:fill="FFFFFF"/>
          </w:tcPr>
          <w:p w14:paraId="30C1C047"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[D&amp;B Threshold]</w:t>
            </w:r>
          </w:p>
        </w:tc>
        <w:tc>
          <w:tcPr>
            <w:tcW w:w="2966" w:type="dxa"/>
            <w:shd w:val="clear" w:color="auto" w:fill="FFFFFF"/>
          </w:tcPr>
          <w:p w14:paraId="13FA1F97"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14:paraId="3F372EA6" w14:textId="77777777">
        <w:tc>
          <w:tcPr>
            <w:tcW w:w="3033" w:type="dxa"/>
            <w:shd w:val="clear" w:color="auto" w:fill="FFFFFF"/>
          </w:tcPr>
          <w:p w14:paraId="2E61ACEA"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highlight w:val="yellow"/>
              </w:rPr>
              <w:t xml:space="preserve"> Guarantor</w:t>
            </w:r>
          </w:p>
        </w:tc>
        <w:tc>
          <w:tcPr>
            <w:tcW w:w="3017" w:type="dxa"/>
            <w:shd w:val="clear" w:color="auto" w:fill="FFFFFF"/>
          </w:tcPr>
          <w:p w14:paraId="74335E74"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shd w:val="clear" w:color="auto" w:fill="FFFFFF"/>
          </w:tcPr>
          <w:p w14:paraId="71BB72FC"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14:paraId="5A9F5114" w14:textId="77777777">
        <w:tc>
          <w:tcPr>
            <w:tcW w:w="3033" w:type="dxa"/>
            <w:tcBorders>
              <w:bottom w:val="single" w:sz="4" w:space="0" w:color="000000"/>
            </w:tcBorders>
            <w:shd w:val="clear" w:color="auto" w:fill="FFFFFF"/>
          </w:tcPr>
          <w:p w14:paraId="43056EF2" w14:textId="77777777"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17" w:type="dxa"/>
            <w:tcBorders>
              <w:bottom w:val="single" w:sz="4" w:space="0" w:color="000000"/>
            </w:tcBorders>
            <w:shd w:val="clear" w:color="auto" w:fill="FFFFFF"/>
          </w:tcPr>
          <w:p w14:paraId="427E0F2F"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tcBorders>
              <w:bottom w:val="single" w:sz="4" w:space="0" w:color="000000"/>
            </w:tcBorders>
            <w:shd w:val="clear" w:color="auto" w:fill="FFFFFF"/>
          </w:tcPr>
          <w:p w14:paraId="79194CAC" w14:textId="77777777"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bl>
    <w:p w14:paraId="2CF64A01" w14:textId="77777777" w:rsidR="00A93162" w:rsidRDefault="00A93162">
      <w:pPr>
        <w:spacing w:after="0"/>
        <w:rPr>
          <w:rFonts w:ascii="Arial" w:eastAsia="Arial" w:hAnsi="Arial"/>
          <w:sz w:val="24"/>
          <w:szCs w:val="24"/>
        </w:rPr>
      </w:pPr>
    </w:p>
    <w:sectPr w:rsidR="00A9316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B485" w14:textId="77777777" w:rsidR="00564FFF" w:rsidRDefault="00564FFF">
      <w:pPr>
        <w:spacing w:after="0"/>
      </w:pPr>
      <w:r>
        <w:separator/>
      </w:r>
    </w:p>
  </w:endnote>
  <w:endnote w:type="continuationSeparator" w:id="0">
    <w:p w14:paraId="654B5F49" w14:textId="77777777" w:rsidR="00564FFF" w:rsidRDefault="00564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5B25" w14:textId="77777777" w:rsidR="00A93162" w:rsidRDefault="00564FFF">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1BF45410" w14:textId="77777777" w:rsidR="00A93162" w:rsidRDefault="00564FF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0749B771"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03729">
      <w:rPr>
        <w:rFonts w:ascii="Arial" w:eastAsia="Arial" w:hAnsi="Arial"/>
        <w:noProof/>
        <w:color w:val="BFBFBF"/>
        <w:sz w:val="20"/>
        <w:szCs w:val="20"/>
      </w:rPr>
      <w:t>1</w:t>
    </w:r>
    <w:r>
      <w:rPr>
        <w:rFonts w:ascii="Arial" w:eastAsia="Arial" w:hAnsi="Arial"/>
        <w:color w:val="BFBFBF"/>
        <w:sz w:val="20"/>
        <w:szCs w:val="20"/>
      </w:rPr>
      <w:fldChar w:fldCharType="end"/>
    </w:r>
  </w:p>
  <w:p w14:paraId="320F246C"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9F509D2" w14:textId="77777777" w:rsidR="00A93162" w:rsidRDefault="00564FFF">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C19E3" w14:textId="77777777" w:rsidR="00A93162" w:rsidRDefault="00564FFF">
    <w:pPr>
      <w:tabs>
        <w:tab w:val="center" w:pos="4513"/>
        <w:tab w:val="right" w:pos="9026"/>
      </w:tabs>
      <w:spacing w:after="0"/>
      <w:rPr>
        <w:color w:val="BFBFBF"/>
      </w:rPr>
    </w:pPr>
    <w:r>
      <w:rPr>
        <w:color w:val="BFBFBF"/>
      </w:rPr>
      <w:t>Framework Ref: RM</w:t>
    </w:r>
    <w:r>
      <w:rPr>
        <w:color w:val="BFBFBF"/>
      </w:rPr>
      <w:tab/>
      <w:t xml:space="preserve">                                           </w:t>
    </w:r>
  </w:p>
  <w:p w14:paraId="11BA20DD" w14:textId="77777777"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2C8B7A74" w14:textId="77777777" w:rsidR="00A93162" w:rsidRDefault="00564FFF">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B106" w14:textId="77777777" w:rsidR="00564FFF" w:rsidRDefault="00564FFF">
      <w:pPr>
        <w:spacing w:after="0"/>
      </w:pPr>
      <w:r>
        <w:separator/>
      </w:r>
    </w:p>
  </w:footnote>
  <w:footnote w:type="continuationSeparator" w:id="0">
    <w:p w14:paraId="30163A24" w14:textId="77777777" w:rsidR="00564FFF" w:rsidRDefault="00564F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5984B"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14:paraId="3960249A" w14:textId="77777777"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E716C6"/>
    <w:multiLevelType w:val="multilevel"/>
    <w:tmpl w:val="AECAF6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162"/>
    <w:rsid w:val="00503729"/>
    <w:rsid w:val="00564FFF"/>
    <w:rsid w:val="008F6ECF"/>
    <w:rsid w:val="00A93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A9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1601</Words>
  <Characters>9132</Characters>
  <Application>Microsoft Office Word</Application>
  <DocSecurity>0</DocSecurity>
  <Lines>76</Lines>
  <Paragraphs>21</Paragraphs>
  <ScaleCrop>false</ScaleCrop>
  <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3</cp:revision>
  <dcterms:created xsi:type="dcterms:W3CDTF">2019-11-04T11:10:00Z</dcterms:created>
  <dcterms:modified xsi:type="dcterms:W3CDTF">2022-04-04T16:48:00Z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